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70D" w:rsidRPr="00E57DD9" w:rsidRDefault="00E57DD9" w:rsidP="003D570D">
      <w:pPr>
        <w:tabs>
          <w:tab w:val="left" w:pos="0"/>
        </w:tabs>
        <w:jc w:val="right"/>
        <w:rPr>
          <w:b/>
          <w:lang w:val="it-IT"/>
        </w:rPr>
      </w:pPr>
      <w:bookmarkStart w:id="0" w:name="_GoBack"/>
      <w:bookmarkEnd w:id="0"/>
      <w:r w:rsidRPr="00E57DD9">
        <w:rPr>
          <w:b/>
          <w:lang w:val="it-IT"/>
        </w:rPr>
        <w:t>Anexă</w:t>
      </w:r>
      <w:r w:rsidR="003D570D" w:rsidRPr="00E57DD9">
        <w:rPr>
          <w:b/>
          <w:lang w:val="it-IT"/>
        </w:rPr>
        <w:t xml:space="preserve"> </w:t>
      </w:r>
    </w:p>
    <w:p w:rsidR="003D570D" w:rsidRDefault="003D570D" w:rsidP="003D570D">
      <w:pPr>
        <w:tabs>
          <w:tab w:val="left" w:pos="0"/>
        </w:tabs>
        <w:jc w:val="center"/>
        <w:rPr>
          <w:b/>
          <w:lang w:val="it-IT"/>
        </w:rPr>
      </w:pPr>
    </w:p>
    <w:p w:rsidR="00223DE2" w:rsidRDefault="00223DE2" w:rsidP="005003CD">
      <w:pPr>
        <w:jc w:val="center"/>
        <w:rPr>
          <w:b/>
        </w:rPr>
      </w:pPr>
    </w:p>
    <w:p w:rsidR="003D570D" w:rsidRDefault="003D570D" w:rsidP="003D570D">
      <w:pPr>
        <w:tabs>
          <w:tab w:val="left" w:pos="0"/>
        </w:tabs>
        <w:jc w:val="center"/>
        <w:rPr>
          <w:b/>
          <w:lang w:val="it-IT"/>
        </w:rPr>
      </w:pPr>
      <w:r w:rsidRPr="000A0FF8">
        <w:rPr>
          <w:b/>
          <w:lang w:val="it-IT"/>
        </w:rPr>
        <w:t xml:space="preserve">CARACTERISTICILE PRINCIPALE ŞI INDICATORII TEHNICO-ECONOMICI </w:t>
      </w:r>
    </w:p>
    <w:p w:rsidR="003D570D" w:rsidRPr="000A0FF8" w:rsidRDefault="003D570D" w:rsidP="003D570D">
      <w:pPr>
        <w:tabs>
          <w:tab w:val="left" w:pos="0"/>
        </w:tabs>
        <w:jc w:val="center"/>
        <w:rPr>
          <w:b/>
          <w:lang w:val="it-IT"/>
        </w:rPr>
      </w:pPr>
      <w:r w:rsidRPr="000A0FF8">
        <w:rPr>
          <w:b/>
          <w:lang w:val="it-IT"/>
        </w:rPr>
        <w:t>AI OBIECTIVULUI DE INVESTIŢII</w:t>
      </w:r>
    </w:p>
    <w:p w:rsidR="005003CD" w:rsidRDefault="005003CD" w:rsidP="005003CD">
      <w:pPr>
        <w:jc w:val="center"/>
        <w:rPr>
          <w:b/>
        </w:rPr>
      </w:pPr>
    </w:p>
    <w:p w:rsidR="005003CD" w:rsidRDefault="003D570D" w:rsidP="003D570D">
      <w:pPr>
        <w:widowControl w:val="0"/>
        <w:suppressAutoHyphens/>
        <w:autoSpaceDE w:val="0"/>
        <w:autoSpaceDN w:val="0"/>
        <w:adjustRightInd w:val="0"/>
        <w:spacing w:line="264" w:lineRule="auto"/>
        <w:ind w:left="5040" w:hanging="5040"/>
        <w:jc w:val="center"/>
        <w:rPr>
          <w:b/>
        </w:rPr>
      </w:pPr>
      <w:r w:rsidRPr="00B61446">
        <w:rPr>
          <w:b/>
        </w:rPr>
        <w:t xml:space="preserve"> </w:t>
      </w:r>
      <w:r w:rsidR="005003CD" w:rsidRPr="00B61446">
        <w:rPr>
          <w:b/>
        </w:rPr>
        <w:t>„</w:t>
      </w:r>
      <w:r w:rsidR="00B61446" w:rsidRPr="00B61446">
        <w:rPr>
          <w:rFonts w:eastAsia="Calibri"/>
          <w:b/>
          <w:lang w:eastAsia="zh-CN"/>
        </w:rPr>
        <w:t>Pod peste râul Dâmbovița pe DN 73 km 78+519</w:t>
      </w:r>
      <w:r w:rsidR="005003CD" w:rsidRPr="00B61446">
        <w:rPr>
          <w:b/>
        </w:rPr>
        <w:t>”</w:t>
      </w:r>
    </w:p>
    <w:p w:rsidR="003D570D" w:rsidRPr="00B61446" w:rsidRDefault="003D570D" w:rsidP="003D570D">
      <w:pPr>
        <w:widowControl w:val="0"/>
        <w:suppressAutoHyphens/>
        <w:autoSpaceDE w:val="0"/>
        <w:autoSpaceDN w:val="0"/>
        <w:adjustRightInd w:val="0"/>
        <w:spacing w:line="264" w:lineRule="auto"/>
        <w:ind w:left="5040" w:hanging="5040"/>
        <w:jc w:val="center"/>
        <w:rPr>
          <w:b/>
        </w:rPr>
      </w:pPr>
    </w:p>
    <w:p w:rsidR="003D570D" w:rsidRPr="003A7DA8" w:rsidRDefault="003D570D" w:rsidP="003D570D">
      <w:pPr>
        <w:ind w:left="2124" w:hanging="2124"/>
        <w:jc w:val="both"/>
        <w:rPr>
          <w:b/>
        </w:rPr>
      </w:pPr>
      <w:r w:rsidRPr="003A7DA8">
        <w:rPr>
          <w:b/>
        </w:rPr>
        <w:t>Ordonator principal de credite:</w:t>
      </w:r>
      <w:r>
        <w:rPr>
          <w:b/>
        </w:rPr>
        <w:tab/>
      </w:r>
      <w:r w:rsidRPr="003A7DA8">
        <w:rPr>
          <w:b/>
        </w:rPr>
        <w:t>Ministerul Transporturilor</w:t>
      </w:r>
      <w:r>
        <w:rPr>
          <w:b/>
        </w:rPr>
        <w:t xml:space="preserve">, Infrastructurii şi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Comunicaţiilor</w:t>
      </w:r>
    </w:p>
    <w:p w:rsidR="003D570D" w:rsidRPr="003A7DA8" w:rsidRDefault="003D570D" w:rsidP="003D570D">
      <w:pPr>
        <w:ind w:left="2124" w:hanging="2124"/>
        <w:jc w:val="both"/>
        <w:rPr>
          <w:b/>
        </w:rPr>
      </w:pPr>
    </w:p>
    <w:p w:rsidR="003D570D" w:rsidRPr="003A7DA8" w:rsidRDefault="003D570D" w:rsidP="003D570D">
      <w:pPr>
        <w:tabs>
          <w:tab w:val="left" w:pos="0"/>
          <w:tab w:val="left" w:pos="2160"/>
        </w:tabs>
        <w:ind w:left="2124" w:hanging="2124"/>
        <w:jc w:val="both"/>
        <w:rPr>
          <w:b/>
          <w:caps/>
        </w:rPr>
      </w:pPr>
      <w:r w:rsidRPr="003A7DA8">
        <w:rPr>
          <w:b/>
        </w:rPr>
        <w:t>Beneficiar</w:t>
      </w:r>
      <w:r w:rsidRPr="003A7DA8">
        <w:rPr>
          <w:b/>
          <w:caps/>
        </w:rPr>
        <w:t>:</w:t>
      </w:r>
      <w:r>
        <w:rPr>
          <w:b/>
          <w:caps/>
        </w:rPr>
        <w:tab/>
      </w:r>
      <w:r w:rsidRPr="003A7DA8">
        <w:rPr>
          <w:b/>
        </w:rPr>
        <w:t xml:space="preserve">Compania Naţională de Administrare a Infrastructurii Rutiere - </w:t>
      </w:r>
      <w:r w:rsidRPr="003A7DA8">
        <w:rPr>
          <w:b/>
          <w:caps/>
        </w:rPr>
        <w:t>s.a.</w:t>
      </w:r>
      <w:r>
        <w:rPr>
          <w:b/>
          <w:caps/>
        </w:rPr>
        <w:t xml:space="preserve"> </w:t>
      </w:r>
    </w:p>
    <w:p w:rsidR="003D570D" w:rsidRPr="003A7DA8" w:rsidRDefault="003D570D" w:rsidP="003D570D">
      <w:pPr>
        <w:tabs>
          <w:tab w:val="left" w:pos="0"/>
          <w:tab w:val="left" w:pos="2160"/>
        </w:tabs>
        <w:ind w:left="2124" w:hanging="2124"/>
        <w:jc w:val="both"/>
        <w:rPr>
          <w:b/>
          <w:caps/>
        </w:rPr>
      </w:pPr>
    </w:p>
    <w:p w:rsidR="003D570D" w:rsidRPr="003B598F" w:rsidRDefault="003D570D" w:rsidP="003D570D">
      <w:pPr>
        <w:ind w:left="1797" w:hanging="1797"/>
        <w:jc w:val="both"/>
        <w:rPr>
          <w:b/>
        </w:rPr>
      </w:pPr>
      <w:r>
        <w:rPr>
          <w:b/>
        </w:rPr>
        <w:t>Amplasament:</w:t>
      </w:r>
      <w:r>
        <w:rPr>
          <w:b/>
        </w:rPr>
        <w:tab/>
      </w:r>
      <w:r>
        <w:rPr>
          <w:b/>
        </w:rPr>
        <w:tab/>
        <w:t>j</w:t>
      </w:r>
      <w:r w:rsidRPr="003A7DA8">
        <w:rPr>
          <w:b/>
        </w:rPr>
        <w:t xml:space="preserve">udeţul </w:t>
      </w:r>
      <w:r>
        <w:rPr>
          <w:b/>
        </w:rPr>
        <w:t>Argeş</w:t>
      </w:r>
    </w:p>
    <w:p w:rsidR="003D570D" w:rsidRPr="003101B2" w:rsidRDefault="003D570D" w:rsidP="003D570D">
      <w:pPr>
        <w:ind w:left="1797" w:hanging="1797"/>
        <w:jc w:val="both"/>
      </w:pPr>
    </w:p>
    <w:p w:rsidR="003D570D" w:rsidRDefault="003D570D" w:rsidP="003D570D">
      <w:pPr>
        <w:jc w:val="center"/>
        <w:rPr>
          <w:b/>
        </w:rPr>
      </w:pPr>
    </w:p>
    <w:p w:rsidR="003D570D" w:rsidRDefault="003D570D" w:rsidP="003D570D">
      <w:pPr>
        <w:jc w:val="center"/>
        <w:rPr>
          <w:b/>
        </w:rPr>
      </w:pPr>
      <w:r>
        <w:rPr>
          <w:b/>
        </w:rPr>
        <w:t>INDICATORII TEHNICO - ECONOMICI</w:t>
      </w:r>
    </w:p>
    <w:p w:rsidR="003D570D" w:rsidRDefault="003D570D" w:rsidP="003D570D">
      <w:pPr>
        <w:ind w:left="1797" w:hanging="1797"/>
        <w:jc w:val="both"/>
        <w:rPr>
          <w:b/>
        </w:rPr>
      </w:pPr>
    </w:p>
    <w:p w:rsidR="003D570D" w:rsidRPr="003101B2" w:rsidRDefault="003D570D" w:rsidP="003D570D">
      <w:pPr>
        <w:jc w:val="both"/>
        <w:rPr>
          <w:lang w:val="it-IT"/>
        </w:rPr>
      </w:pPr>
      <w:r w:rsidRPr="003101B2">
        <w:rPr>
          <w:b/>
          <w:lang w:val="it-IT"/>
        </w:rPr>
        <w:t>Valoarea</w:t>
      </w:r>
      <w:r>
        <w:rPr>
          <w:b/>
          <w:lang w:val="it-IT"/>
        </w:rPr>
        <w:t xml:space="preserve"> totală a investiţ</w:t>
      </w:r>
      <w:r w:rsidRPr="003101B2">
        <w:rPr>
          <w:b/>
          <w:lang w:val="it-IT"/>
        </w:rPr>
        <w:t xml:space="preserve">iei </w:t>
      </w:r>
      <w:r>
        <w:rPr>
          <w:b/>
          <w:lang w:val="it-IT"/>
        </w:rPr>
        <w:t>(inclusiv</w:t>
      </w:r>
      <w:r w:rsidRPr="003101B2">
        <w:rPr>
          <w:b/>
          <w:lang w:val="it-IT"/>
        </w:rPr>
        <w:t xml:space="preserve"> TVA):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="00E57DD9">
        <w:rPr>
          <w:b/>
          <w:lang w:val="it-IT"/>
        </w:rPr>
        <w:t xml:space="preserve">49.387            </w:t>
      </w:r>
      <w:r w:rsidRPr="004144A7">
        <w:rPr>
          <w:b/>
        </w:rPr>
        <w:t>mii lei</w:t>
      </w:r>
      <w:r>
        <w:rPr>
          <w:b/>
        </w:rPr>
        <w:tab/>
      </w:r>
      <w:r>
        <w:rPr>
          <w:b/>
        </w:rPr>
        <w:tab/>
      </w:r>
      <w:r w:rsidRPr="004144A7">
        <w:rPr>
          <w:b/>
        </w:rPr>
        <w:tab/>
      </w:r>
      <w:r w:rsidRPr="004144A7">
        <w:rPr>
          <w:b/>
        </w:rPr>
        <w:tab/>
      </w:r>
    </w:p>
    <w:p w:rsidR="003D570D" w:rsidRPr="003101B2" w:rsidRDefault="003D570D" w:rsidP="003D570D">
      <w:pPr>
        <w:jc w:val="both"/>
      </w:pPr>
      <w:r w:rsidRPr="003101B2">
        <w:rPr>
          <w:sz w:val="22"/>
          <w:lang w:val="it-IT"/>
        </w:rPr>
        <w:t xml:space="preserve">(în preţuri la data de </w:t>
      </w:r>
      <w:r>
        <w:rPr>
          <w:sz w:val="22"/>
          <w:lang w:val="it-IT"/>
        </w:rPr>
        <w:t>03.04.2019</w:t>
      </w:r>
      <w:r w:rsidRPr="003101B2">
        <w:rPr>
          <w:sz w:val="22"/>
        </w:rPr>
        <w:t>/</w:t>
      </w:r>
      <w:r>
        <w:rPr>
          <w:sz w:val="22"/>
          <w:lang w:val="it-IT"/>
        </w:rPr>
        <w:t>1 euro = 4,7585</w:t>
      </w:r>
      <w:r w:rsidRPr="003101B2">
        <w:rPr>
          <w:sz w:val="22"/>
          <w:lang w:val="it-IT"/>
        </w:rPr>
        <w:t xml:space="preserve"> lei)</w:t>
      </w:r>
      <w:r>
        <w:rPr>
          <w:lang w:val="it-IT"/>
        </w:rPr>
        <w:t xml:space="preserve">     </w:t>
      </w:r>
      <w:r>
        <w:rPr>
          <w:lang w:val="it-IT"/>
        </w:rPr>
        <w:tab/>
      </w:r>
      <w:r>
        <w:rPr>
          <w:lang w:val="it-IT"/>
        </w:rPr>
        <w:tab/>
      </w:r>
    </w:p>
    <w:p w:rsidR="003D570D" w:rsidRDefault="003D570D" w:rsidP="003D570D">
      <w:pPr>
        <w:jc w:val="both"/>
      </w:pPr>
      <w:r w:rsidRPr="003101B2">
        <w:rPr>
          <w:b/>
          <w:lang w:val="it-IT"/>
        </w:rPr>
        <w:t xml:space="preserve">      </w:t>
      </w:r>
      <w:r>
        <w:rPr>
          <w:lang w:val="it-IT"/>
        </w:rPr>
        <w:t>din care</w:t>
      </w:r>
      <w:r>
        <w:t>:</w:t>
      </w:r>
    </w:p>
    <w:p w:rsidR="003D570D" w:rsidRDefault="003D570D" w:rsidP="003D570D">
      <w:pPr>
        <w:jc w:val="both"/>
        <w:rPr>
          <w:b/>
          <w:lang w:val="it-IT"/>
        </w:rPr>
      </w:pPr>
      <w:r>
        <w:tab/>
        <w:t xml:space="preserve">- </w:t>
      </w:r>
      <w:r w:rsidRPr="003101B2">
        <w:rPr>
          <w:b/>
          <w:lang w:val="it-IT"/>
        </w:rPr>
        <w:t>construcţii</w:t>
      </w:r>
      <w:r w:rsidRPr="003101B2">
        <w:rPr>
          <w:b/>
        </w:rPr>
        <w:t>-</w:t>
      </w:r>
      <w:r w:rsidRPr="003101B2">
        <w:rPr>
          <w:b/>
          <w:lang w:val="it-IT"/>
        </w:rPr>
        <w:t>montaj (C+M)</w:t>
      </w:r>
      <w:r>
        <w:rPr>
          <w:b/>
          <w:lang w:val="it-IT"/>
        </w:rPr>
        <w:t>: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E57DD9" w:rsidRPr="00E57DD9">
        <w:rPr>
          <w:b/>
          <w:lang w:val="it-IT"/>
        </w:rPr>
        <w:t>41.143</w:t>
      </w:r>
      <w:r w:rsidR="00E57DD9">
        <w:rPr>
          <w:lang w:val="it-IT"/>
        </w:rPr>
        <w:t xml:space="preserve">            </w:t>
      </w:r>
      <w:r w:rsidRPr="004144A7">
        <w:rPr>
          <w:b/>
        </w:rPr>
        <w:t>mii lei</w:t>
      </w:r>
      <w:r>
        <w:rPr>
          <w:b/>
          <w:lang w:val="it-IT"/>
        </w:rPr>
        <w:tab/>
      </w:r>
      <w:r>
        <w:rPr>
          <w:b/>
          <w:lang w:val="it-IT"/>
        </w:rPr>
        <w:tab/>
      </w:r>
    </w:p>
    <w:p w:rsidR="003D570D" w:rsidRPr="003101B2" w:rsidRDefault="003D570D" w:rsidP="003D570D">
      <w:pPr>
        <w:jc w:val="both"/>
        <w:rPr>
          <w:lang w:val="it-IT"/>
        </w:rPr>
      </w:pPr>
      <w:r w:rsidRPr="004144A7">
        <w:rPr>
          <w:b/>
        </w:rPr>
        <w:tab/>
      </w:r>
      <w:r w:rsidRPr="004144A7">
        <w:rPr>
          <w:b/>
        </w:rPr>
        <w:tab/>
      </w:r>
      <w:r w:rsidRPr="004144A7">
        <w:rPr>
          <w:b/>
        </w:rPr>
        <w:tab/>
      </w:r>
    </w:p>
    <w:p w:rsidR="003D570D" w:rsidRPr="003101B2" w:rsidRDefault="003D570D" w:rsidP="003D570D">
      <w:pPr>
        <w:jc w:val="both"/>
      </w:pPr>
      <w:r w:rsidRPr="003101B2">
        <w:rPr>
          <w:lang w:val="it-IT"/>
        </w:rPr>
        <w:tab/>
        <w:t xml:space="preserve"> </w:t>
      </w:r>
      <w:r w:rsidRPr="003101B2">
        <w:rPr>
          <w:lang w:val="it-IT"/>
        </w:rPr>
        <w:tab/>
      </w:r>
      <w:r w:rsidRPr="003101B2">
        <w:rPr>
          <w:lang w:val="it-IT"/>
        </w:rPr>
        <w:tab/>
      </w:r>
      <w:r w:rsidRPr="003101B2">
        <w:rPr>
          <w:lang w:val="it-IT"/>
        </w:rPr>
        <w:tab/>
      </w:r>
      <w:r w:rsidRPr="003101B2">
        <w:rPr>
          <w:lang w:val="it-IT"/>
        </w:rPr>
        <w:tab/>
      </w:r>
      <w:r w:rsidRPr="003101B2">
        <w:rPr>
          <w:lang w:val="it-IT"/>
        </w:rPr>
        <w:tab/>
      </w:r>
      <w:r w:rsidRPr="003101B2">
        <w:rPr>
          <w:lang w:val="it-IT"/>
        </w:rPr>
        <w:tab/>
      </w:r>
    </w:p>
    <w:p w:rsidR="003D570D" w:rsidRPr="003101B2" w:rsidRDefault="003D570D" w:rsidP="003D570D">
      <w:pPr>
        <w:rPr>
          <w:b/>
          <w:color w:val="000000"/>
        </w:rPr>
      </w:pPr>
      <w:r>
        <w:rPr>
          <w:b/>
          <w:color w:val="000000"/>
        </w:rPr>
        <w:t>Eşalonarea investiţiei (INV/C+</w:t>
      </w:r>
      <w:r w:rsidRPr="003101B2">
        <w:rPr>
          <w:b/>
          <w:color w:val="000000"/>
        </w:rPr>
        <w:t>M):</w:t>
      </w:r>
    </w:p>
    <w:p w:rsidR="003D570D" w:rsidRPr="003101B2" w:rsidRDefault="003D570D" w:rsidP="003D570D">
      <w:r w:rsidRPr="003101B2">
        <w:t>Anul I</w:t>
      </w:r>
      <w:r w:rsidRPr="003101B2">
        <w:tab/>
      </w:r>
      <w:r w:rsidRPr="003101B2">
        <w:tab/>
      </w:r>
      <w:r w:rsidRPr="003101B2">
        <w:tab/>
      </w:r>
      <w:r w:rsidRPr="003101B2">
        <w:tab/>
      </w:r>
      <w:r w:rsidRPr="003101B2">
        <w:tab/>
      </w:r>
      <w:r w:rsidRPr="003101B2">
        <w:tab/>
      </w:r>
      <w:r w:rsidRPr="003101B2">
        <w:tab/>
      </w:r>
      <w:r>
        <w:tab/>
      </w:r>
      <w:r w:rsidR="00E57DD9">
        <w:t>32.500</w:t>
      </w:r>
      <w:r w:rsidR="00E57DD9" w:rsidRPr="003101B2">
        <w:t xml:space="preserve"> / </w:t>
      </w:r>
      <w:r w:rsidR="00E57DD9">
        <w:t xml:space="preserve">27.100            </w:t>
      </w:r>
      <w:r w:rsidRPr="003101B2">
        <w:t>mii lei</w:t>
      </w:r>
      <w:r w:rsidR="00E57DD9">
        <w:tab/>
      </w:r>
      <w:r w:rsidR="00E57DD9">
        <w:tab/>
      </w:r>
    </w:p>
    <w:p w:rsidR="003D570D" w:rsidRPr="003101B2" w:rsidRDefault="003D570D" w:rsidP="003D570D">
      <w:pPr>
        <w:rPr>
          <w:lang w:val="it-IT"/>
        </w:rPr>
      </w:pPr>
      <w:r w:rsidRPr="003101B2">
        <w:t>Anul II</w:t>
      </w:r>
      <w:r w:rsidRPr="003101B2">
        <w:tab/>
      </w:r>
      <w:r w:rsidRPr="003101B2">
        <w:tab/>
      </w:r>
      <w:r w:rsidRPr="003101B2">
        <w:tab/>
      </w:r>
      <w:r w:rsidRPr="003101B2">
        <w:tab/>
      </w:r>
      <w:r w:rsidRPr="003101B2">
        <w:tab/>
      </w:r>
      <w:r w:rsidRPr="003101B2">
        <w:tab/>
      </w:r>
      <w:r w:rsidRPr="003101B2">
        <w:tab/>
      </w:r>
      <w:r>
        <w:tab/>
      </w:r>
      <w:r w:rsidR="00E57DD9">
        <w:t>16.887</w:t>
      </w:r>
      <w:r w:rsidR="00E57DD9" w:rsidRPr="003101B2">
        <w:t xml:space="preserve"> / </w:t>
      </w:r>
      <w:r w:rsidR="00E57DD9">
        <w:t xml:space="preserve">14.043            </w:t>
      </w:r>
      <w:r w:rsidRPr="003101B2">
        <w:t>mii lei</w:t>
      </w:r>
      <w:r>
        <w:tab/>
      </w:r>
      <w:r>
        <w:tab/>
      </w:r>
      <w:r w:rsidRPr="003101B2">
        <w:tab/>
      </w:r>
    </w:p>
    <w:p w:rsidR="003D570D" w:rsidRPr="003101B2" w:rsidRDefault="003D570D" w:rsidP="003D570D">
      <w:pPr>
        <w:rPr>
          <w:b/>
          <w:lang w:val="it-IT"/>
        </w:rPr>
      </w:pPr>
    </w:p>
    <w:p w:rsidR="003D570D" w:rsidRPr="003101B2" w:rsidRDefault="003D570D" w:rsidP="003D570D">
      <w:pPr>
        <w:pStyle w:val="Normal1"/>
        <w:spacing w:line="240" w:lineRule="auto"/>
        <w:ind w:left="964" w:hanging="964"/>
        <w:rPr>
          <w:rFonts w:ascii="Times New Roman" w:hAnsi="Times New Roman"/>
          <w:b/>
          <w:szCs w:val="24"/>
          <w:lang w:val="pt-BR"/>
        </w:rPr>
      </w:pPr>
      <w:r w:rsidRPr="003101B2">
        <w:rPr>
          <w:rFonts w:ascii="Times New Roman" w:hAnsi="Times New Roman"/>
          <w:b/>
          <w:szCs w:val="24"/>
          <w:lang w:val="pt-BR"/>
        </w:rPr>
        <w:t>Capacit</w:t>
      </w:r>
      <w:r w:rsidRPr="003101B2">
        <w:rPr>
          <w:rFonts w:ascii="Times New Roman" w:hAnsi="Times New Roman"/>
          <w:b/>
          <w:szCs w:val="24"/>
          <w:lang w:val="ro-RO"/>
        </w:rPr>
        <w:t>ăţ</w:t>
      </w:r>
      <w:r w:rsidRPr="003101B2">
        <w:rPr>
          <w:rFonts w:ascii="Times New Roman" w:hAnsi="Times New Roman"/>
          <w:b/>
          <w:szCs w:val="24"/>
          <w:lang w:val="pt-BR"/>
        </w:rPr>
        <w:t>i:</w:t>
      </w:r>
    </w:p>
    <w:p w:rsidR="003D570D" w:rsidRPr="00A130A9" w:rsidRDefault="003D570D" w:rsidP="003D570D">
      <w:pPr>
        <w:rPr>
          <w:b/>
        </w:rPr>
      </w:pPr>
      <w:r w:rsidRPr="00A130A9">
        <w:t>Lungime</w:t>
      </w:r>
      <w:r>
        <w:t xml:space="preserve"> totală traseu</w:t>
      </w:r>
      <w:r>
        <w:rPr>
          <w:lang w:val="en-US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DD9">
        <w:t xml:space="preserve">750                </w:t>
      </w:r>
      <w:r w:rsidRPr="00A130A9">
        <w:t>m</w:t>
      </w:r>
      <w:r>
        <w:tab/>
      </w:r>
      <w:r>
        <w:tab/>
      </w:r>
    </w:p>
    <w:p w:rsidR="003D570D" w:rsidRPr="00A130A9" w:rsidRDefault="003D570D" w:rsidP="003D570D">
      <w:pPr>
        <w:rPr>
          <w:b/>
        </w:rPr>
      </w:pPr>
      <w:r w:rsidRPr="00A130A9">
        <w:t>Lungime</w:t>
      </w:r>
      <w:r>
        <w:t xml:space="preserve"> totală pod: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57DD9">
        <w:t xml:space="preserve">170                </w:t>
      </w:r>
      <w:r w:rsidRPr="00A130A9">
        <w:t>m</w:t>
      </w:r>
      <w:r w:rsidR="00E57DD9">
        <w:tab/>
      </w:r>
    </w:p>
    <w:p w:rsidR="003D570D" w:rsidRPr="003D570D" w:rsidRDefault="003D570D" w:rsidP="003D570D">
      <w:pPr>
        <w:rPr>
          <w:lang w:val="it-IT"/>
        </w:rPr>
      </w:pPr>
      <w:r w:rsidRPr="003D570D">
        <w:rPr>
          <w:lang w:val="it-IT"/>
        </w:rPr>
        <w:t>Pasaj subtraversare drum de servitute</w:t>
      </w:r>
      <w:r>
        <w:t>:</w:t>
      </w:r>
      <w:r w:rsidRPr="003D570D">
        <w:rPr>
          <w:lang w:val="it-IT"/>
        </w:rPr>
        <w:tab/>
      </w:r>
      <w:r w:rsidRPr="003D570D">
        <w:rPr>
          <w:lang w:val="it-IT"/>
        </w:rPr>
        <w:tab/>
      </w:r>
      <w:r>
        <w:rPr>
          <w:lang w:val="it-IT"/>
        </w:rPr>
        <w:tab/>
      </w:r>
      <w:r w:rsidR="00E57DD9">
        <w:rPr>
          <w:lang w:val="it-IT"/>
        </w:rPr>
        <w:t>1                    buc.</w:t>
      </w:r>
      <w:r w:rsidR="00E57DD9">
        <w:rPr>
          <w:lang w:val="it-IT"/>
        </w:rPr>
        <w:tab/>
      </w:r>
      <w:r w:rsidR="00E57DD9">
        <w:rPr>
          <w:lang w:val="it-IT"/>
        </w:rPr>
        <w:tab/>
      </w:r>
    </w:p>
    <w:p w:rsidR="003D570D" w:rsidRDefault="003D570D" w:rsidP="003D570D">
      <w:pPr>
        <w:rPr>
          <w:b/>
          <w:lang w:val="it-IT"/>
        </w:rPr>
      </w:pPr>
    </w:p>
    <w:p w:rsidR="000267C0" w:rsidRDefault="000267C0" w:rsidP="003D570D">
      <w:pPr>
        <w:rPr>
          <w:b/>
          <w:lang w:val="it-IT"/>
        </w:rPr>
      </w:pPr>
    </w:p>
    <w:p w:rsidR="003D570D" w:rsidRPr="003101B2" w:rsidRDefault="003D570D" w:rsidP="003D570D">
      <w:pPr>
        <w:rPr>
          <w:b/>
          <w:lang w:val="it-IT"/>
        </w:rPr>
      </w:pPr>
      <w:r w:rsidRPr="003101B2">
        <w:rPr>
          <w:b/>
          <w:lang w:val="it-IT"/>
        </w:rPr>
        <w:t xml:space="preserve">Durata de </w:t>
      </w:r>
      <w:r w:rsidR="004E1FDA">
        <w:rPr>
          <w:b/>
          <w:lang w:val="it-IT"/>
        </w:rPr>
        <w:t>execuţie</w:t>
      </w:r>
      <w:r w:rsidRPr="003101B2">
        <w:rPr>
          <w:b/>
          <w:lang w:val="it-IT"/>
        </w:rPr>
        <w:t xml:space="preserve"> a investiţiei:</w:t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>
        <w:rPr>
          <w:b/>
          <w:lang w:val="it-IT"/>
        </w:rPr>
        <w:tab/>
      </w:r>
      <w:r w:rsidRPr="003101B2">
        <w:rPr>
          <w:lang w:val="it-IT"/>
        </w:rPr>
        <w:t xml:space="preserve"> </w:t>
      </w:r>
      <w:r w:rsidR="00E57DD9">
        <w:rPr>
          <w:lang w:val="it-IT"/>
        </w:rPr>
        <w:t xml:space="preserve">15                 </w:t>
      </w:r>
      <w:r w:rsidRPr="003101B2">
        <w:rPr>
          <w:lang w:val="it-IT"/>
        </w:rPr>
        <w:t>luni</w:t>
      </w:r>
      <w:r>
        <w:rPr>
          <w:lang w:val="it-IT"/>
        </w:rPr>
        <w:tab/>
      </w:r>
      <w:r>
        <w:rPr>
          <w:lang w:val="it-IT"/>
        </w:rPr>
        <w:tab/>
      </w:r>
    </w:p>
    <w:p w:rsidR="003D570D" w:rsidRPr="003101B2" w:rsidRDefault="003D570D" w:rsidP="003D570D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b/>
        </w:rPr>
      </w:pPr>
    </w:p>
    <w:p w:rsidR="000267C0" w:rsidRDefault="000267C0" w:rsidP="003D570D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b/>
        </w:rPr>
      </w:pPr>
    </w:p>
    <w:p w:rsidR="003D570D" w:rsidRDefault="003D570D" w:rsidP="003D570D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b/>
        </w:rPr>
      </w:pPr>
      <w:r w:rsidRPr="003101B2">
        <w:rPr>
          <w:b/>
        </w:rPr>
        <w:t>Factori de risc:</w:t>
      </w:r>
    </w:p>
    <w:p w:rsidR="003D570D" w:rsidRPr="00381AB8" w:rsidRDefault="003D570D" w:rsidP="003D570D">
      <w:pPr>
        <w:jc w:val="both"/>
      </w:pPr>
      <w:r>
        <w:rPr>
          <w:bCs/>
        </w:rPr>
        <w:t xml:space="preserve">Obiectivul se va proteja antiseismic conform prevederilor </w:t>
      </w:r>
      <w:r w:rsidRPr="00381AB8">
        <w:t>Cod</w:t>
      </w:r>
      <w:r>
        <w:t>ului de proiectare seismică</w:t>
      </w:r>
      <w:r w:rsidRPr="00381AB8">
        <w:t xml:space="preserve"> P 100</w:t>
      </w:r>
      <w:r w:rsidR="00E57DD9">
        <w:t xml:space="preserve"> </w:t>
      </w:r>
      <w:r w:rsidRPr="00381AB8">
        <w:t>-1</w:t>
      </w:r>
      <w:r>
        <w:t>/2013</w:t>
      </w:r>
      <w:r w:rsidRPr="00381AB8">
        <w:t>.</w:t>
      </w:r>
    </w:p>
    <w:p w:rsidR="003D570D" w:rsidRPr="003101B2" w:rsidRDefault="003D570D" w:rsidP="003D570D">
      <w:pPr>
        <w:tabs>
          <w:tab w:val="left" w:pos="0"/>
          <w:tab w:val="left" w:pos="720"/>
          <w:tab w:val="left" w:pos="2160"/>
          <w:tab w:val="left" w:pos="3600"/>
          <w:tab w:val="left" w:pos="5760"/>
          <w:tab w:val="left" w:pos="7200"/>
        </w:tabs>
        <w:rPr>
          <w:b/>
          <w:lang w:val="es-ES"/>
        </w:rPr>
      </w:pPr>
    </w:p>
    <w:p w:rsidR="000267C0" w:rsidRDefault="000267C0" w:rsidP="003D570D">
      <w:pPr>
        <w:jc w:val="both"/>
        <w:rPr>
          <w:b/>
        </w:rPr>
      </w:pPr>
    </w:p>
    <w:p w:rsidR="003D570D" w:rsidRPr="003101B2" w:rsidRDefault="003D570D" w:rsidP="003D570D">
      <w:pPr>
        <w:jc w:val="both"/>
      </w:pPr>
      <w:r w:rsidRPr="003101B2">
        <w:rPr>
          <w:b/>
        </w:rPr>
        <w:t>Finanţarea investiţiei:</w:t>
      </w:r>
    </w:p>
    <w:p w:rsidR="001E1472" w:rsidRPr="007F53C8" w:rsidRDefault="001E1472" w:rsidP="001E1472">
      <w:pPr>
        <w:jc w:val="both"/>
        <w:rPr>
          <w:lang w:val="pt-BR"/>
        </w:rPr>
      </w:pPr>
      <w:r>
        <w:t>Finan</w:t>
      </w:r>
      <w:r w:rsidR="009F2018">
        <w:t>ţarea obiectivului de investiţii</w:t>
      </w:r>
      <w:r>
        <w:t xml:space="preserve"> se realizează din </w:t>
      </w:r>
      <w:r w:rsidRPr="004D50BE">
        <w:t xml:space="preserve">fonduri externe nerambursabile </w:t>
      </w:r>
      <w:r>
        <w:t>ş</w:t>
      </w:r>
      <w:r w:rsidR="00771D35">
        <w:t>i de la bugetul de s</w:t>
      </w:r>
      <w:r w:rsidRPr="004D50BE">
        <w:t>tat, prin bugetul Ministerului Transporturilor</w:t>
      </w:r>
      <w:r>
        <w:t>, Infrastructurii şi Comunicaţiilor</w:t>
      </w:r>
      <w:r w:rsidRPr="004D50BE">
        <w:t>,</w:t>
      </w:r>
      <w:r>
        <w:t xml:space="preserve"> </w:t>
      </w:r>
      <w:r>
        <w:rPr>
          <w:lang w:val="pt-BR"/>
        </w:rPr>
        <w:t>î</w:t>
      </w:r>
      <w:r w:rsidRPr="004D50BE">
        <w:rPr>
          <w:lang w:val="pt-BR"/>
        </w:rPr>
        <w:t>n limita s</w:t>
      </w:r>
      <w:r>
        <w:rPr>
          <w:lang w:val="pt-BR"/>
        </w:rPr>
        <w:t>umelor ap</w:t>
      </w:r>
      <w:r w:rsidR="00F97F6E">
        <w:rPr>
          <w:lang w:val="pt-BR"/>
        </w:rPr>
        <w:t>robate anual cu această destinaţ</w:t>
      </w:r>
      <w:r>
        <w:rPr>
          <w:lang w:val="pt-BR"/>
        </w:rPr>
        <w:t>ie, precum ş</w:t>
      </w:r>
      <w:r w:rsidRPr="007F53C8">
        <w:rPr>
          <w:lang w:val="pt-BR"/>
        </w:rPr>
        <w:t>i din alte surse legal constituite, conform programelor de investi</w:t>
      </w:r>
      <w:r>
        <w:rPr>
          <w:lang w:val="pt-BR"/>
        </w:rPr>
        <w:t>ţ</w:t>
      </w:r>
      <w:r w:rsidRPr="007F53C8">
        <w:rPr>
          <w:lang w:val="pt-BR"/>
        </w:rPr>
        <w:t>ii publice aprobate potrivit legii.</w:t>
      </w:r>
    </w:p>
    <w:p w:rsidR="005003CD" w:rsidRDefault="005003CD" w:rsidP="005003CD"/>
    <w:p w:rsidR="00BC63CF" w:rsidRDefault="00BC63CF" w:rsidP="00C5051E">
      <w:pPr>
        <w:rPr>
          <w:b/>
          <w:lang w:val="it-IT"/>
        </w:rPr>
      </w:pPr>
    </w:p>
    <w:sectPr w:rsidR="00BC63CF" w:rsidSect="003D570D">
      <w:pgSz w:w="11907" w:h="16839" w:code="9"/>
      <w:pgMar w:top="1134" w:right="1134" w:bottom="113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C40F6"/>
    <w:multiLevelType w:val="hybridMultilevel"/>
    <w:tmpl w:val="A3EC4772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BA231A"/>
    <w:multiLevelType w:val="hybridMultilevel"/>
    <w:tmpl w:val="6BF865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137960"/>
    <w:multiLevelType w:val="multilevel"/>
    <w:tmpl w:val="7FC896EC"/>
    <w:lvl w:ilvl="0">
      <w:start w:val="1"/>
      <w:numFmt w:val="decimal"/>
      <w:pStyle w:val="cap1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</w:rPr>
    </w:lvl>
    <w:lvl w:ilvl="1">
      <w:start w:val="1"/>
      <w:numFmt w:val="decimal"/>
      <w:pStyle w:val="cap2"/>
      <w:lvlText w:val="%1.%2."/>
      <w:lvlJc w:val="left"/>
      <w:pPr>
        <w:tabs>
          <w:tab w:val="num" w:pos="612"/>
        </w:tabs>
        <w:ind w:left="612" w:hanging="432"/>
      </w:pPr>
      <w:rPr>
        <w:rFonts w:ascii="Tahoma" w:hAnsi="Tahoma" w:cs="Tahoma" w:hint="default"/>
        <w:b/>
        <w:color w:val="auto"/>
        <w:sz w:val="22"/>
        <w:szCs w:val="22"/>
      </w:rPr>
    </w:lvl>
    <w:lvl w:ilvl="2">
      <w:start w:val="1"/>
      <w:numFmt w:val="decimal"/>
      <w:pStyle w:val="cap3"/>
      <w:lvlText w:val="%1.%2.%3."/>
      <w:lvlJc w:val="left"/>
      <w:pPr>
        <w:tabs>
          <w:tab w:val="num" w:pos="1440"/>
        </w:tabs>
        <w:ind w:left="1224" w:hanging="504"/>
      </w:pPr>
      <w:rPr>
        <w:rFonts w:ascii="Tahoma" w:hAnsi="Tahoma" w:cs="Tahoma" w:hint="default"/>
        <w:sz w:val="22"/>
        <w:szCs w:val="22"/>
      </w:rPr>
    </w:lvl>
    <w:lvl w:ilvl="3">
      <w:start w:val="1"/>
      <w:numFmt w:val="decimal"/>
      <w:pStyle w:val="cap4"/>
      <w:lvlText w:val="%1.%2.%3.%4."/>
      <w:lvlJc w:val="left"/>
      <w:pPr>
        <w:tabs>
          <w:tab w:val="num" w:pos="1800"/>
        </w:tabs>
        <w:ind w:left="1728" w:hanging="648"/>
      </w:pPr>
      <w:rPr>
        <w:rFonts w:ascii="Tahoma" w:hAnsi="Tahoma" w:cs="Tahoma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3CD"/>
    <w:rsid w:val="0000271E"/>
    <w:rsid w:val="000267C0"/>
    <w:rsid w:val="000315A9"/>
    <w:rsid w:val="0006643D"/>
    <w:rsid w:val="0009591A"/>
    <w:rsid w:val="000E5508"/>
    <w:rsid w:val="00115D76"/>
    <w:rsid w:val="00115E21"/>
    <w:rsid w:val="0011711A"/>
    <w:rsid w:val="00126448"/>
    <w:rsid w:val="00166E08"/>
    <w:rsid w:val="00175AE4"/>
    <w:rsid w:val="001D6822"/>
    <w:rsid w:val="001E1472"/>
    <w:rsid w:val="00203C33"/>
    <w:rsid w:val="00223DE2"/>
    <w:rsid w:val="002A0E18"/>
    <w:rsid w:val="002A2113"/>
    <w:rsid w:val="002C7B76"/>
    <w:rsid w:val="00342DF7"/>
    <w:rsid w:val="00363310"/>
    <w:rsid w:val="003C25EF"/>
    <w:rsid w:val="003C66BF"/>
    <w:rsid w:val="003D570D"/>
    <w:rsid w:val="003E6D49"/>
    <w:rsid w:val="004415B7"/>
    <w:rsid w:val="00457865"/>
    <w:rsid w:val="004C1F0E"/>
    <w:rsid w:val="004C3D10"/>
    <w:rsid w:val="004D3860"/>
    <w:rsid w:val="004E1FDA"/>
    <w:rsid w:val="005003CD"/>
    <w:rsid w:val="005039D0"/>
    <w:rsid w:val="00535965"/>
    <w:rsid w:val="0054592E"/>
    <w:rsid w:val="005D5B8B"/>
    <w:rsid w:val="005E4D0A"/>
    <w:rsid w:val="0061636A"/>
    <w:rsid w:val="00643CC7"/>
    <w:rsid w:val="00645954"/>
    <w:rsid w:val="00650FDA"/>
    <w:rsid w:val="006726C8"/>
    <w:rsid w:val="0068102D"/>
    <w:rsid w:val="00682AA8"/>
    <w:rsid w:val="006A00CC"/>
    <w:rsid w:val="006F11FE"/>
    <w:rsid w:val="00771D35"/>
    <w:rsid w:val="00793F57"/>
    <w:rsid w:val="007E4DF5"/>
    <w:rsid w:val="00827CB7"/>
    <w:rsid w:val="00841A35"/>
    <w:rsid w:val="00882C45"/>
    <w:rsid w:val="008A7F91"/>
    <w:rsid w:val="008B145F"/>
    <w:rsid w:val="008E634C"/>
    <w:rsid w:val="00901A93"/>
    <w:rsid w:val="00950313"/>
    <w:rsid w:val="009565AE"/>
    <w:rsid w:val="009B2DEE"/>
    <w:rsid w:val="009C59C0"/>
    <w:rsid w:val="009D2A2B"/>
    <w:rsid w:val="009F192D"/>
    <w:rsid w:val="009F2018"/>
    <w:rsid w:val="00A36835"/>
    <w:rsid w:val="00AB1948"/>
    <w:rsid w:val="00AB5C09"/>
    <w:rsid w:val="00AD1217"/>
    <w:rsid w:val="00AF43AE"/>
    <w:rsid w:val="00B21230"/>
    <w:rsid w:val="00B31F99"/>
    <w:rsid w:val="00B455BF"/>
    <w:rsid w:val="00B5431C"/>
    <w:rsid w:val="00B61446"/>
    <w:rsid w:val="00B658B1"/>
    <w:rsid w:val="00B762E5"/>
    <w:rsid w:val="00BC63CF"/>
    <w:rsid w:val="00BE38C6"/>
    <w:rsid w:val="00BE6EB8"/>
    <w:rsid w:val="00C115B1"/>
    <w:rsid w:val="00C14122"/>
    <w:rsid w:val="00C5051E"/>
    <w:rsid w:val="00C723E6"/>
    <w:rsid w:val="00C80974"/>
    <w:rsid w:val="00CB541A"/>
    <w:rsid w:val="00CC2D38"/>
    <w:rsid w:val="00D96431"/>
    <w:rsid w:val="00DD1846"/>
    <w:rsid w:val="00E07B47"/>
    <w:rsid w:val="00E33D56"/>
    <w:rsid w:val="00E57DD9"/>
    <w:rsid w:val="00E80B4B"/>
    <w:rsid w:val="00E96DBC"/>
    <w:rsid w:val="00EA3CBE"/>
    <w:rsid w:val="00ED0793"/>
    <w:rsid w:val="00ED398C"/>
    <w:rsid w:val="00F024A4"/>
    <w:rsid w:val="00F6155E"/>
    <w:rsid w:val="00F90167"/>
    <w:rsid w:val="00F90219"/>
    <w:rsid w:val="00F97F6E"/>
    <w:rsid w:val="00FA77B7"/>
    <w:rsid w:val="00FE06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3395301-D83E-4C73-A36C-BA13F95DF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p1">
    <w:name w:val="cap1"/>
    <w:next w:val="Normal"/>
    <w:rsid w:val="005003CD"/>
    <w:pPr>
      <w:numPr>
        <w:numId w:val="1"/>
      </w:numPr>
      <w:tabs>
        <w:tab w:val="left" w:pos="964"/>
      </w:tabs>
      <w:spacing w:before="60" w:after="180" w:line="360" w:lineRule="auto"/>
      <w:outlineLvl w:val="0"/>
    </w:pPr>
    <w:rPr>
      <w:rFonts w:ascii="Arial" w:eastAsia="Times New Roman" w:hAnsi="Arial" w:cs="Times New Roman"/>
      <w:b/>
      <w:caps/>
      <w:noProof/>
      <w:sz w:val="24"/>
      <w:szCs w:val="20"/>
    </w:rPr>
  </w:style>
  <w:style w:type="paragraph" w:customStyle="1" w:styleId="cap2">
    <w:name w:val="cap2"/>
    <w:next w:val="Normal"/>
    <w:rsid w:val="005003CD"/>
    <w:pPr>
      <w:numPr>
        <w:ilvl w:val="1"/>
        <w:numId w:val="1"/>
      </w:numPr>
      <w:tabs>
        <w:tab w:val="left" w:pos="964"/>
      </w:tabs>
      <w:spacing w:after="240" w:line="360" w:lineRule="atLeast"/>
      <w:outlineLvl w:val="1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cap3">
    <w:name w:val="cap3"/>
    <w:next w:val="Normal"/>
    <w:rsid w:val="005003CD"/>
    <w:pPr>
      <w:numPr>
        <w:ilvl w:val="2"/>
        <w:numId w:val="1"/>
      </w:numPr>
      <w:tabs>
        <w:tab w:val="left" w:pos="964"/>
      </w:tabs>
      <w:spacing w:after="240" w:line="240" w:lineRule="auto"/>
      <w:outlineLvl w:val="2"/>
    </w:pPr>
    <w:rPr>
      <w:rFonts w:ascii="Arial" w:eastAsia="Times New Roman" w:hAnsi="Arial" w:cs="Times New Roman"/>
      <w:b/>
      <w:noProof/>
      <w:sz w:val="24"/>
      <w:szCs w:val="20"/>
    </w:rPr>
  </w:style>
  <w:style w:type="paragraph" w:customStyle="1" w:styleId="cap4">
    <w:name w:val="cap4"/>
    <w:next w:val="Normal"/>
    <w:rsid w:val="005003CD"/>
    <w:pPr>
      <w:numPr>
        <w:ilvl w:val="3"/>
        <w:numId w:val="1"/>
      </w:numPr>
      <w:tabs>
        <w:tab w:val="left" w:pos="964"/>
      </w:tabs>
      <w:spacing w:after="120" w:line="240" w:lineRule="auto"/>
      <w:outlineLvl w:val="3"/>
    </w:pPr>
    <w:rPr>
      <w:rFonts w:ascii="Arial" w:eastAsia="Times New Roman" w:hAnsi="Arial" w:cs="Times New Roman"/>
      <w:b/>
      <w:noProof/>
      <w:sz w:val="24"/>
      <w:szCs w:val="20"/>
    </w:rPr>
  </w:style>
  <w:style w:type="paragraph" w:styleId="NoSpacing">
    <w:name w:val="No Spacing"/>
    <w:uiPriority w:val="1"/>
    <w:qFormat/>
    <w:rsid w:val="00500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paragraph" w:styleId="ListParagraph">
    <w:name w:val="List Paragraph"/>
    <w:basedOn w:val="Normal"/>
    <w:uiPriority w:val="34"/>
    <w:qFormat/>
    <w:rsid w:val="00B658B1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166E08"/>
    <w:pPr>
      <w:spacing w:after="120" w:line="480" w:lineRule="auto"/>
      <w:ind w:left="360"/>
    </w:pPr>
    <w:rPr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166E0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38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8C6"/>
    <w:rPr>
      <w:rFonts w:ascii="Segoe UI" w:eastAsia="Times New Roman" w:hAnsi="Segoe UI" w:cs="Segoe UI"/>
      <w:sz w:val="18"/>
      <w:szCs w:val="18"/>
      <w:lang w:val="ro-RO"/>
    </w:rPr>
  </w:style>
  <w:style w:type="paragraph" w:customStyle="1" w:styleId="Normal1">
    <w:name w:val="Normal1"/>
    <w:link w:val="NORMALChar"/>
    <w:rsid w:val="003D570D"/>
    <w:pPr>
      <w:spacing w:after="0" w:line="360" w:lineRule="auto"/>
      <w:ind w:left="965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customStyle="1" w:styleId="NORMALChar">
    <w:name w:val="NORMAL Char"/>
    <w:link w:val="Normal1"/>
    <w:rsid w:val="003D570D"/>
    <w:rPr>
      <w:rFonts w:ascii="Arial" w:eastAsia="Times New Roman" w:hAnsi="Arial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2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6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784623">
              <w:marLeft w:val="0"/>
              <w:marRight w:val="0"/>
              <w:marTop w:val="0"/>
              <w:marBottom w:val="0"/>
              <w:divBdr>
                <w:top w:val="dashed" w:sz="2" w:space="0" w:color="FFFFFF"/>
                <w:left w:val="dashed" w:sz="2" w:space="0" w:color="FFFFFF"/>
                <w:bottom w:val="dashed" w:sz="2" w:space="0" w:color="FFFFFF"/>
                <w:right w:val="dashed" w:sz="2" w:space="0" w:color="FFFFFF"/>
              </w:divBdr>
              <w:divsChild>
                <w:div w:id="1344817528">
                  <w:marLeft w:val="0"/>
                  <w:marRight w:val="0"/>
                  <w:marTop w:val="0"/>
                  <w:marBottom w:val="0"/>
                  <w:divBdr>
                    <w:top w:val="dashed" w:sz="2" w:space="0" w:color="FFFFFF"/>
                    <w:left w:val="dashed" w:sz="2" w:space="0" w:color="FFFFFF"/>
                    <w:bottom w:val="dashed" w:sz="2" w:space="0" w:color="FFFFFF"/>
                    <w:right w:val="dashed" w:sz="2" w:space="0" w:color="FFFFFF"/>
                  </w:divBdr>
                  <w:divsChild>
                    <w:div w:id="2137408395">
                      <w:marLeft w:val="0"/>
                      <w:marRight w:val="0"/>
                      <w:marTop w:val="0"/>
                      <w:marBottom w:val="0"/>
                      <w:divBdr>
                        <w:top w:val="dashed" w:sz="2" w:space="0" w:color="FFFFFF"/>
                        <w:left w:val="dashed" w:sz="2" w:space="0" w:color="FFFFFF"/>
                        <w:bottom w:val="dashed" w:sz="2" w:space="0" w:color="FFFFFF"/>
                        <w:right w:val="dashed" w:sz="2" w:space="0" w:color="FFFFFF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ileana</cp:lastModifiedBy>
  <cp:revision>2</cp:revision>
  <cp:lastPrinted>2019-07-19T09:51:00Z</cp:lastPrinted>
  <dcterms:created xsi:type="dcterms:W3CDTF">2019-12-09T08:52:00Z</dcterms:created>
  <dcterms:modified xsi:type="dcterms:W3CDTF">2019-12-09T08:52:00Z</dcterms:modified>
</cp:coreProperties>
</file>