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351570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bookmarkStart w:id="0" w:name="_GoBack"/>
      <w:bookmarkEnd w:id="0"/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50034" cy="1971675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5224" cy="19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A1FAE" w:rsidRPr="00960FD0" w:rsidRDefault="00CA1FAE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Semnare Contract de finanțare</w:t>
      </w:r>
    </w:p>
    <w:p w:rsidR="00123904" w:rsidRPr="00123904" w:rsidRDefault="00BB4125" w:rsidP="00F73B09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„</w:t>
      </w:r>
      <w:r w:rsidR="004035BE" w:rsidRPr="004035BE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Lucrări de reabilitare pentru poduri, podețe și tuneluri de cale ferată Sucursala Regională C.F. Cluj, beneficiar C.N.C.F. C.F.R. S.A.</w:t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”</w:t>
      </w:r>
    </w:p>
    <w:p w:rsidR="0037321F" w:rsidRDefault="004035BE" w:rsidP="004035BE">
      <w:pPr>
        <w:spacing w:before="120" w:line="300" w:lineRule="exact"/>
        <w:ind w:left="180" w:right="-10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4035BE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Cod SMIS 2014+ 132564</w:t>
      </w:r>
    </w:p>
    <w:p w:rsidR="004035BE" w:rsidRDefault="004035BE" w:rsidP="004035BE">
      <w:pPr>
        <w:spacing w:before="120" w:line="300" w:lineRule="exact"/>
        <w:ind w:left="180" w:right="-10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</w:p>
    <w:p w:rsidR="004035BE" w:rsidRDefault="004035BE" w:rsidP="004035BE">
      <w:pPr>
        <w:spacing w:before="120" w:line="300" w:lineRule="exact"/>
        <w:ind w:left="180" w:right="-108"/>
        <w:jc w:val="center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7321F" w:rsidRPr="00637916" w:rsidRDefault="00856A89" w:rsidP="00856A89">
      <w:pPr>
        <w:spacing w:line="360" w:lineRule="auto"/>
        <w:ind w:left="180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7B1470">
        <w:rPr>
          <w:rFonts w:ascii="Trebuchet MS" w:hAnsi="Trebuchet MS"/>
          <w:b/>
          <w:bCs/>
          <w:iCs/>
          <w:sz w:val="22"/>
          <w:szCs w:val="22"/>
        </w:rPr>
        <w:t xml:space="preserve">MINISTERUL TRANSPORTURILOR, </w:t>
      </w:r>
      <w:r>
        <w:rPr>
          <w:rFonts w:ascii="Trebuchet MS" w:hAnsi="Trebuchet MS"/>
          <w:b/>
          <w:bCs/>
          <w:iCs/>
          <w:sz w:val="22"/>
          <w:szCs w:val="22"/>
        </w:rPr>
        <w:t>INFRASTRUCTURII ȘI COMUNICAȚIILOR</w:t>
      </w:r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6E5A09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COMPANIA NAȚIONALĂ DE CĂI FERATE „CFR” S.A.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25</w:t>
      </w:r>
      <w:r w:rsidR="00F73B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noiembrie</w:t>
      </w:r>
      <w:proofErr w:type="spellEnd"/>
      <w:r w:rsidR="00F73B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2019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49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Lucrări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reabilitare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poduri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podețe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și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tuneluri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cale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ferată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Sucursala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Regională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C.F.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Cluj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beneficiar</w:t>
      </w:r>
      <w:proofErr w:type="spellEnd"/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C.N.C.F. C.F.R. S.A.</w:t>
      </w:r>
      <w:r w:rsidR="00F73B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” </w:t>
      </w:r>
      <w:r w:rsidR="00F73B09" w:rsidRPr="00F73B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Cod </w:t>
      </w:r>
      <w:proofErr w:type="spellStart"/>
      <w:r w:rsidR="00F73B09" w:rsidRPr="00F73B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MySMIS</w:t>
      </w:r>
      <w:proofErr w:type="spellEnd"/>
      <w:r w:rsidR="00F73B09" w:rsidRPr="00F73B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132564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Structurile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ferata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care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fac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prezentului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sunt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amplasate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județele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: Bihor (1 pod, 1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tunel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1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), Bistrița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Năsăud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(1 pod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),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Maramureș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(1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tunel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)</w:t>
      </w:r>
      <w:proofErr w:type="gram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Sălaj</w:t>
      </w:r>
      <w:proofErr w:type="spellEnd"/>
      <w:proofErr w:type="gram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(5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). 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>Județul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 xml:space="preserve"> Bihor 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1. Pod Km 651+564,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Oradea Est – Oradea –TEN-T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 023 km; 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2.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Tunel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598+930 - 599+201,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-Ep.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Bratca-Suncuius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0,271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3.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597+715,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Bratca-Suncuius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––TEN-T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0,025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>Județul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 xml:space="preserve"> Bistrița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>Năsăud</w:t>
      </w:r>
      <w:proofErr w:type="spellEnd"/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4.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41+719, CF 416B,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Beclean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Ilva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Mica,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Feldru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Ilva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Mica –TEN-T Principal 0,014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5.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23+210, CF 422,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Salva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Viseu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Jos,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Telciu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Fiad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afara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rețelei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TEN-T - 0,033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6. Pod Km 47+128, CF 418A,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Beclean-Saratel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Magherus-Saratel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- 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-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lungime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0,108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>Judetul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>Maramures</w:t>
      </w:r>
      <w:proofErr w:type="spellEnd"/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7.Tunel km 239+679 -239+731, CF 422A,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Sighetul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Marmatiei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Viseului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Bocicoi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Viseului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afara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rețelei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TEN-T -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lungime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0,052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>Judetul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u w:val="single"/>
          <w:lang w:val="en-US" w:eastAsia="en-US"/>
        </w:rPr>
        <w:t>Salaj</w:t>
      </w:r>
      <w:proofErr w:type="spellEnd"/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8.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544+080,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Stana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Huedin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0,032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9.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544+677,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Stana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Huedin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0,038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10.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544+976,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Stana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Huedin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0,022 km;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11.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545+100,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Stana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Huedin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TEN-T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0,028 km; 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12.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Podeț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Km 543+830, CF 300,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Bucuresti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- Ep. Bihor,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statiile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Stana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Huedi</w:t>
      </w:r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</w:t>
      </w:r>
      <w:proofErr w:type="spellEnd"/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TEN-T </w:t>
      </w:r>
      <w:proofErr w:type="spellStart"/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Cuprinzător</w:t>
      </w:r>
      <w:proofErr w:type="spellEnd"/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0,032 km.</w:t>
      </w: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</w:t>
      </w:r>
    </w:p>
    <w:p w:rsidR="00856A89" w:rsidRDefault="00856A89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reabilitarea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celor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12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structuri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ferată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119A3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8119A3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119A3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contribuie</w:t>
      </w:r>
      <w:proofErr w:type="spellEnd"/>
      <w:r w:rsidR="008119A3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</w:t>
      </w: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: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•</w:t>
      </w: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ab/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Creşterea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gradului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siguranţă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traficului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feroviar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marfuri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şi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pasageri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liniile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CF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care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sunt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amplasate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acestea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eliminarea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punctelor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periculoase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determinate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tehnica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podurilor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tunelelor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podeţelor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•</w:t>
      </w: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ab/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Îmbunătăţirea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confortului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călătorilor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şi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eficacităţii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traficului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ferată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creşterea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vitezei</w:t>
      </w:r>
      <w:proofErr w:type="spellEnd"/>
      <w:proofErr w:type="gram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circulaţie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şi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ridicarea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restricţiilor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tonaj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/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gabarit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;</w:t>
      </w:r>
    </w:p>
    <w:p w:rsidR="004035BE" w:rsidRPr="004035BE" w:rsidRDefault="004035BE" w:rsidP="008119A3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atingerea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acestor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obiective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specifice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contribuire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atingerea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urmatoarelor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obiective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generale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•</w:t>
      </w: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ab/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Creşterea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eficienţei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transportului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feroviar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economiile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timp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care le </w:t>
      </w:r>
      <w:proofErr w:type="spellStart"/>
      <w:proofErr w:type="gram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proofErr w:type="gram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asigura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reabilitarea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celor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12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structuri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;</w:t>
      </w:r>
    </w:p>
    <w:p w:rsidR="004035BE" w:rsidRP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•</w:t>
      </w: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ab/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premiselor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îmbunătăţirea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calităţii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serviciilor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transportul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feroviar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îmbunătăţirea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infrastructurii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feroviare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; </w:t>
      </w:r>
    </w:p>
    <w:p w:rsidR="004035BE" w:rsidRDefault="004035BE" w:rsidP="004035BE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•</w:t>
      </w:r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ab/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Creşterea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atractivităţii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transportului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feroviar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comparativ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cu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transportul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rutier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şi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consecinţă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reducerea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impactului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transportului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asupra</w:t>
      </w:r>
      <w:proofErr w:type="spellEnd"/>
      <w:proofErr w:type="gram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mediului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856A89" w:rsidRDefault="00856A89" w:rsidP="00856A89">
      <w:pPr>
        <w:spacing w:before="120" w:line="360" w:lineRule="auto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</w:p>
    <w:p w:rsidR="004035BE" w:rsidRDefault="004035BE" w:rsidP="00856A89">
      <w:pPr>
        <w:spacing w:before="120" w:line="360" w:lineRule="auto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conduce la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reducerea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timpilor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transport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creșterea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gradului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siguranța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in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transportul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feroviar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eliminarea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restricțiilor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viteza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respectiv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realizarea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unei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economii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timp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28 de minute in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anul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2025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trenurile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marfa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calatori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reducerea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riscului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accidente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scăderea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costurilor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întreținere</w:t>
      </w:r>
      <w:proofErr w:type="spellEnd"/>
      <w:r w:rsidRPr="004035B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856A89">
      <w:pPr>
        <w:spacing w:before="120" w:line="360" w:lineRule="auto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lastRenderedPageBreak/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62.534.057,95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4035BE" w:rsidRPr="004035B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52.138.424,74</w:t>
      </w:r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8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856A89" w:rsidRPr="00856A8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38.330.345,03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4035B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European de </w:t>
      </w:r>
      <w:proofErr w:type="spellStart"/>
      <w:r w:rsidR="004035B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Dezvoltare</w:t>
      </w:r>
      <w:proofErr w:type="spellEnd"/>
      <w:r w:rsidR="004035B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4035B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Regiona</w:t>
      </w:r>
      <w:proofErr w:type="spellEnd"/>
      <w:r w:rsidR="004035B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lă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</w:t>
      </w:r>
      <w:r w:rsidRPr="008A28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</w:t>
      </w:r>
      <w:r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56A89" w:rsidRPr="00856A8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6.764.178,53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856A89" w:rsidRDefault="00856A89" w:rsidP="00856A89">
      <w:pPr>
        <w:spacing w:before="120" w:line="360" w:lineRule="auto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</w:p>
    <w:p w:rsidR="008252A6" w:rsidRDefault="006E5A09" w:rsidP="00856A89">
      <w:pPr>
        <w:spacing w:before="120" w:line="360" w:lineRule="auto"/>
        <w:ind w:left="180" w:right="-108"/>
        <w:jc w:val="both"/>
        <w:rPr>
          <w:rFonts w:ascii="Trebuchet MS" w:hAnsi="Trebuchet MS"/>
          <w:sz w:val="22"/>
          <w:szCs w:val="22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856A8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93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cu </w:t>
      </w:r>
      <w:proofErr w:type="spellStart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termen</w:t>
      </w:r>
      <w:proofErr w:type="spellEnd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finalizare</w:t>
      </w:r>
      <w:proofErr w:type="spellEnd"/>
      <w:r w:rsidR="008252A6" w:rsidRPr="00A527E5">
        <w:rPr>
          <w:rFonts w:ascii="Trebuchet MS" w:hAnsi="Trebuchet MS"/>
          <w:sz w:val="22"/>
          <w:szCs w:val="22"/>
        </w:rPr>
        <w:t xml:space="preserve"> </w:t>
      </w:r>
      <w:r w:rsidR="00856A89">
        <w:rPr>
          <w:rFonts w:ascii="Trebuchet MS" w:hAnsi="Trebuchet MS"/>
          <w:sz w:val="22"/>
          <w:szCs w:val="22"/>
        </w:rPr>
        <w:t>30.09.2021</w:t>
      </w:r>
      <w:r w:rsidR="008252A6">
        <w:rPr>
          <w:rFonts w:ascii="Trebuchet MS" w:hAnsi="Trebuchet MS"/>
          <w:sz w:val="22"/>
          <w:szCs w:val="22"/>
        </w:rPr>
        <w:t>.</w:t>
      </w:r>
    </w:p>
    <w:p w:rsidR="00856A89" w:rsidRDefault="00856A89" w:rsidP="00856A89">
      <w:pPr>
        <w:spacing w:before="120" w:line="360" w:lineRule="auto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6E5A09" w:rsidRDefault="006E5A09" w:rsidP="00856A89">
      <w:pPr>
        <w:spacing w:before="120" w:line="360" w:lineRule="auto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856A89" w:rsidRPr="00856A8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European de </w:t>
      </w:r>
      <w:proofErr w:type="spellStart"/>
      <w:r w:rsidR="00856A89" w:rsidRPr="00856A8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Dezvoltare</w:t>
      </w:r>
      <w:proofErr w:type="spellEnd"/>
      <w:r w:rsidR="00856A89" w:rsidRPr="00856A8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856A89" w:rsidRPr="00856A8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Regională</w:t>
      </w:r>
      <w:proofErr w:type="spellEnd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856A89" w:rsidRDefault="00856A8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856A89" w:rsidRDefault="00856A8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6E5A09" w:rsidRPr="006E5A09" w:rsidRDefault="004035BE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D</w:t>
      </w:r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ate de contact: </w:t>
      </w:r>
    </w:p>
    <w:p w:rsidR="00C35E30" w:rsidRPr="00B43968" w:rsidRDefault="00856A89" w:rsidP="00B43968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Felix </w:t>
      </w:r>
      <w:proofErr w:type="spellStart"/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Corneliu</w:t>
      </w:r>
      <w:proofErr w:type="spellEnd"/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ARDELEAN</w:t>
      </w:r>
      <w:r w:rsid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</w:t>
      </w:r>
      <w:r w:rsidR="003D1C9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    </w:t>
      </w:r>
      <w:proofErr w:type="spellStart"/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tel</w:t>
      </w:r>
      <w:proofErr w:type="spellEnd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: </w:t>
      </w:r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</w:t>
      </w:r>
      <w:r>
        <w:rPr>
          <w:rFonts w:ascii="Arial" w:hAnsi="Arial"/>
          <w:color w:val="FFFFFF"/>
        </w:rPr>
        <w:t> </w:t>
      </w:r>
      <w:r w:rsidRPr="00856A8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0374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Pr="00856A8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808 574</w:t>
      </w:r>
    </w:p>
    <w:sectPr w:rsidR="00C35E30" w:rsidRPr="00B43968" w:rsidSect="00856A89">
      <w:footerReference w:type="default" r:id="rId11"/>
      <w:pgSz w:w="11906" w:h="16838"/>
      <w:pgMar w:top="1417" w:right="1133" w:bottom="1417" w:left="993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11" w:rsidRDefault="00160811" w:rsidP="00AB1717">
      <w:r>
        <w:separator/>
      </w:r>
    </w:p>
  </w:endnote>
  <w:endnote w:type="continuationSeparator" w:id="0">
    <w:p w:rsidR="00160811" w:rsidRDefault="0016081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11" w:rsidRDefault="00160811" w:rsidP="00AB1717">
      <w:r>
        <w:separator/>
      </w:r>
    </w:p>
  </w:footnote>
  <w:footnote w:type="continuationSeparator" w:id="0">
    <w:p w:rsidR="00160811" w:rsidRDefault="0016081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87E67"/>
    <w:rsid w:val="000C2E11"/>
    <w:rsid w:val="000E2DE4"/>
    <w:rsid w:val="000F3DAC"/>
    <w:rsid w:val="000F4924"/>
    <w:rsid w:val="00123904"/>
    <w:rsid w:val="00140ED3"/>
    <w:rsid w:val="00160811"/>
    <w:rsid w:val="0016643A"/>
    <w:rsid w:val="001E122F"/>
    <w:rsid w:val="001E65EA"/>
    <w:rsid w:val="001F5602"/>
    <w:rsid w:val="0021503C"/>
    <w:rsid w:val="0023057F"/>
    <w:rsid w:val="00233FBC"/>
    <w:rsid w:val="00246A92"/>
    <w:rsid w:val="00297142"/>
    <w:rsid w:val="002C1977"/>
    <w:rsid w:val="002C53C0"/>
    <w:rsid w:val="002E226E"/>
    <w:rsid w:val="002E2DAE"/>
    <w:rsid w:val="002F36BB"/>
    <w:rsid w:val="003212C5"/>
    <w:rsid w:val="00351570"/>
    <w:rsid w:val="003700DE"/>
    <w:rsid w:val="0037321F"/>
    <w:rsid w:val="00392253"/>
    <w:rsid w:val="003B196B"/>
    <w:rsid w:val="003B6E52"/>
    <w:rsid w:val="003D1C96"/>
    <w:rsid w:val="003F39F8"/>
    <w:rsid w:val="0040230B"/>
    <w:rsid w:val="004035BE"/>
    <w:rsid w:val="00435098"/>
    <w:rsid w:val="00441E0C"/>
    <w:rsid w:val="00474D39"/>
    <w:rsid w:val="004914E6"/>
    <w:rsid w:val="00574D74"/>
    <w:rsid w:val="00590816"/>
    <w:rsid w:val="00620682"/>
    <w:rsid w:val="00622541"/>
    <w:rsid w:val="00634285"/>
    <w:rsid w:val="00637916"/>
    <w:rsid w:val="00654912"/>
    <w:rsid w:val="00695A1B"/>
    <w:rsid w:val="006D53E3"/>
    <w:rsid w:val="006E5A09"/>
    <w:rsid w:val="00797878"/>
    <w:rsid w:val="008058D7"/>
    <w:rsid w:val="008119A3"/>
    <w:rsid w:val="00816E71"/>
    <w:rsid w:val="008252A6"/>
    <w:rsid w:val="00842048"/>
    <w:rsid w:val="00843BEF"/>
    <w:rsid w:val="00856A89"/>
    <w:rsid w:val="00863739"/>
    <w:rsid w:val="008A2880"/>
    <w:rsid w:val="008B77B4"/>
    <w:rsid w:val="008E5831"/>
    <w:rsid w:val="00916F0A"/>
    <w:rsid w:val="00950BCB"/>
    <w:rsid w:val="00960FD0"/>
    <w:rsid w:val="00971BC3"/>
    <w:rsid w:val="009D4237"/>
    <w:rsid w:val="009E014B"/>
    <w:rsid w:val="00A4478E"/>
    <w:rsid w:val="00A70575"/>
    <w:rsid w:val="00A84AAF"/>
    <w:rsid w:val="00AA0560"/>
    <w:rsid w:val="00AB1717"/>
    <w:rsid w:val="00AF4950"/>
    <w:rsid w:val="00B43968"/>
    <w:rsid w:val="00B47D8A"/>
    <w:rsid w:val="00BB1B04"/>
    <w:rsid w:val="00BB4125"/>
    <w:rsid w:val="00BD1742"/>
    <w:rsid w:val="00BF257F"/>
    <w:rsid w:val="00BF4169"/>
    <w:rsid w:val="00C063D5"/>
    <w:rsid w:val="00C35E30"/>
    <w:rsid w:val="00C36209"/>
    <w:rsid w:val="00C7407E"/>
    <w:rsid w:val="00CA1FAE"/>
    <w:rsid w:val="00D66A9D"/>
    <w:rsid w:val="00D73098"/>
    <w:rsid w:val="00E027C1"/>
    <w:rsid w:val="00E35524"/>
    <w:rsid w:val="00EC532B"/>
    <w:rsid w:val="00EF53ED"/>
    <w:rsid w:val="00EF6BCB"/>
    <w:rsid w:val="00F21286"/>
    <w:rsid w:val="00F43E35"/>
    <w:rsid w:val="00F47AFA"/>
    <w:rsid w:val="00F739B6"/>
    <w:rsid w:val="00F73B09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B9D9-4ACA-44CE-91E2-6ECC01B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diana</cp:lastModifiedBy>
  <cp:revision>2</cp:revision>
  <cp:lastPrinted>2018-08-09T11:14:00Z</cp:lastPrinted>
  <dcterms:created xsi:type="dcterms:W3CDTF">2019-11-28T14:23:00Z</dcterms:created>
  <dcterms:modified xsi:type="dcterms:W3CDTF">2019-11-28T14:23:00Z</dcterms:modified>
</cp:coreProperties>
</file>