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962188" w:rsidRDefault="00962188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62188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page">
              <wp:posOffset>9525</wp:posOffset>
            </wp:positionH>
            <wp:positionV relativeFrom="paragraph">
              <wp:posOffset>-1057275</wp:posOffset>
            </wp:positionV>
            <wp:extent cx="7548880" cy="1933575"/>
            <wp:effectExtent l="0" t="0" r="0" b="952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48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FFB" w:rsidRPr="00962188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962188" w:rsidRDefault="00620682" w:rsidP="00634285">
      <w:pPr>
        <w:spacing w:line="0" w:lineRule="atLeast"/>
        <w:jc w:val="both"/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962188" w:rsidRDefault="00805082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  </w:t>
      </w:r>
      <w:r w:rsidR="006E5A09"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962188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C193A" w:rsidRPr="00962188" w:rsidRDefault="00842E5D" w:rsidP="00E614E1">
      <w:pPr>
        <w:pStyle w:val="NoSpacing"/>
        <w:jc w:val="center"/>
        <w:rPr>
          <w:rFonts w:ascii="Trebuchet MS" w:hAnsi="Trebuchet MS"/>
          <w:b/>
          <w:sz w:val="26"/>
          <w:szCs w:val="26"/>
          <w:lang w:eastAsia="en-US"/>
        </w:rPr>
      </w:pPr>
      <w:r>
        <w:rPr>
          <w:rFonts w:ascii="Trebuchet MS" w:hAnsi="Trebuchet MS"/>
          <w:b/>
          <w:sz w:val="26"/>
          <w:szCs w:val="26"/>
          <w:lang w:eastAsia="en-US"/>
        </w:rPr>
        <w:t xml:space="preserve">Aprobarea </w:t>
      </w:r>
      <w:r w:rsidR="00E614E1">
        <w:rPr>
          <w:rFonts w:ascii="Trebuchet MS" w:hAnsi="Trebuchet MS"/>
          <w:b/>
          <w:sz w:val="26"/>
          <w:szCs w:val="26"/>
          <w:lang w:eastAsia="en-US"/>
        </w:rPr>
        <w:t>finanțării pentru</w:t>
      </w:r>
      <w:r w:rsidR="003E73BC">
        <w:rPr>
          <w:rFonts w:ascii="Trebuchet MS" w:hAnsi="Trebuchet MS"/>
          <w:b/>
          <w:sz w:val="26"/>
          <w:szCs w:val="26"/>
          <w:lang w:eastAsia="en-US"/>
        </w:rPr>
        <w:t xml:space="preserve"> proiectul</w:t>
      </w:r>
      <w:r w:rsidR="003E73BC" w:rsidRPr="003E73BC">
        <w:rPr>
          <w:rFonts w:ascii="Trebuchet MS" w:hAnsi="Trebuchet MS"/>
          <w:b/>
          <w:sz w:val="26"/>
          <w:szCs w:val="26"/>
          <w:lang w:eastAsia="en-US"/>
        </w:rPr>
        <w:t xml:space="preserve"> major “Pod suspendat peste Dunăre in zona </w:t>
      </w:r>
      <w:r w:rsidR="00BA19DF">
        <w:rPr>
          <w:rFonts w:ascii="Trebuchet MS" w:hAnsi="Trebuchet MS"/>
          <w:b/>
          <w:sz w:val="26"/>
          <w:szCs w:val="26"/>
          <w:lang w:eastAsia="en-US"/>
        </w:rPr>
        <w:t>Tulcea /</w:t>
      </w:r>
      <w:r w:rsidR="00BA19DF" w:rsidRPr="00BA19DF">
        <w:rPr>
          <w:rFonts w:ascii="Trebuchet MS" w:hAnsi="Trebuchet MS"/>
          <w:b/>
          <w:sz w:val="26"/>
          <w:szCs w:val="26"/>
          <w:lang w:eastAsia="en-US"/>
        </w:rPr>
        <w:t xml:space="preserve"> </w:t>
      </w:r>
      <w:r w:rsidR="00BA19DF" w:rsidRPr="003E73BC">
        <w:rPr>
          <w:rFonts w:ascii="Trebuchet MS" w:hAnsi="Trebuchet MS"/>
          <w:b/>
          <w:sz w:val="26"/>
          <w:szCs w:val="26"/>
          <w:lang w:eastAsia="en-US"/>
        </w:rPr>
        <w:t>Brăila</w:t>
      </w:r>
      <w:r w:rsidR="003E73BC" w:rsidRPr="003E73BC">
        <w:rPr>
          <w:rFonts w:ascii="Trebuchet MS" w:hAnsi="Trebuchet MS"/>
          <w:b/>
          <w:sz w:val="26"/>
          <w:szCs w:val="26"/>
          <w:lang w:eastAsia="en-US"/>
        </w:rPr>
        <w:t xml:space="preserve">” </w:t>
      </w:r>
      <w:r w:rsidR="003E73BC">
        <w:rPr>
          <w:rFonts w:ascii="Trebuchet MS" w:hAnsi="Trebuchet MS"/>
          <w:b/>
          <w:sz w:val="26"/>
          <w:szCs w:val="26"/>
          <w:lang w:eastAsia="en-US"/>
        </w:rPr>
        <w:t>d</w:t>
      </w:r>
      <w:r>
        <w:rPr>
          <w:rFonts w:ascii="Trebuchet MS" w:hAnsi="Trebuchet MS"/>
          <w:b/>
          <w:sz w:val="26"/>
          <w:szCs w:val="26"/>
          <w:lang w:eastAsia="en-US"/>
        </w:rPr>
        <w:t>e către Comisia Europeană</w:t>
      </w:r>
    </w:p>
    <w:p w:rsidR="00BD31BC" w:rsidRPr="00962188" w:rsidRDefault="00BD31BC" w:rsidP="00BD31BC">
      <w:pPr>
        <w:jc w:val="center"/>
        <w:rPr>
          <w:b/>
        </w:rPr>
      </w:pPr>
    </w:p>
    <w:p w:rsidR="0084012E" w:rsidRDefault="0084012E" w:rsidP="006305CF">
      <w:pPr>
        <w:keepNext/>
        <w:spacing w:line="276" w:lineRule="auto"/>
        <w:ind w:right="-67"/>
        <w:jc w:val="both"/>
        <w:outlineLvl w:val="4"/>
        <w:rPr>
          <w:rFonts w:ascii="Trebuchet MS" w:eastAsia="Times New Roman" w:hAnsi="Trebuchet MS" w:cs="Times New Roman"/>
          <w:b/>
          <w:bCs/>
          <w:sz w:val="24"/>
          <w:szCs w:val="22"/>
          <w:lang w:eastAsia="en-US"/>
        </w:rPr>
      </w:pPr>
    </w:p>
    <w:p w:rsidR="003E73BC" w:rsidRDefault="003E73BC" w:rsidP="006305CF">
      <w:pPr>
        <w:keepNext/>
        <w:spacing w:line="276" w:lineRule="auto"/>
        <w:ind w:right="-67"/>
        <w:jc w:val="both"/>
        <w:outlineLvl w:val="4"/>
        <w:rPr>
          <w:rFonts w:ascii="Trebuchet MS" w:eastAsia="Times New Roman" w:hAnsi="Trebuchet MS" w:cs="Times New Roman"/>
          <w:b/>
          <w:bCs/>
          <w:sz w:val="24"/>
          <w:szCs w:val="22"/>
          <w:lang w:eastAsia="en-US"/>
        </w:rPr>
      </w:pPr>
    </w:p>
    <w:p w:rsidR="003E73BC" w:rsidRPr="00E614E1" w:rsidRDefault="003E73BC" w:rsidP="006305CF">
      <w:pPr>
        <w:keepNext/>
        <w:spacing w:line="276" w:lineRule="auto"/>
        <w:ind w:right="-67"/>
        <w:jc w:val="both"/>
        <w:outlineLvl w:val="4"/>
        <w:rPr>
          <w:rFonts w:ascii="Trebuchet MS" w:eastAsia="Times New Roman" w:hAnsi="Trebuchet MS" w:cs="Times New Roman"/>
          <w:b/>
          <w:bCs/>
          <w:sz w:val="24"/>
          <w:szCs w:val="22"/>
          <w:lang w:eastAsia="en-US"/>
        </w:rPr>
      </w:pP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În data de 30.08.2019, 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Comisia Europeana a informat autoritățile romane ca a emis decizia de aprobare a proiectului major “</w:t>
      </w:r>
      <w:r w:rsidR="00BA19DF" w:rsidRPr="00BA19DF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Pod suspendat peste Dunăre in zona Tulcea / Brăila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” pentru finanțare din fondurile europene in cadrul POIM 2014-2020. </w:t>
      </w: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Conform regulamentelor europene Ministerul Transporturilor a semnat la data de 29.05.2019 contractul de finanțare aferent proiectului “</w:t>
      </w:r>
      <w:r w:rsidR="00BA19DF" w:rsidRPr="00BA19DF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Pod suspendat peste Dunăre in zona Tulcea / Brăila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”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, iar aceasta decizie a CE confirma corectitudinea deciziei luate de Ministerul Transporturilor. </w:t>
      </w: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Reamintim ca la data de 15.01.2018 CNAIR SA beneficiarul finanțării europene a semnat contractul de proiectare - construcție pentru proiectul “</w:t>
      </w:r>
      <w:r w:rsidR="00BA19DF" w:rsidRPr="00BA19DF">
        <w:t xml:space="preserve"> </w:t>
      </w:r>
      <w:r w:rsidR="00BA19DF" w:rsidRPr="00BA19DF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Pod suspendat peste Dunăre in zona Tulcea / Brăila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”, iar la data de 24.05.2019 proiectul a fost transmis la Comisia Europeana.</w:t>
      </w:r>
    </w:p>
    <w:p w:rsidR="003E73BC" w:rsidRP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6"/>
          <w:szCs w:val="6"/>
          <w:lang w:eastAsia="en-US"/>
        </w:rPr>
      </w:pP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Proiectul finanțează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construcția unui pod suspendat peste fluviul Dunărea cu o lungime de 1.974,30 m și construirea unui drum principal de 19,095 km între Brăila și Jijila (din care 5,746 km sunt drumuri de 2x2 benzi și 11.155 km sunt 2 x 1 benzi), precum și un drum de legătură de 4,660 km de linii de 2x1 piste către Măcin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.</w:t>
      </w:r>
    </w:p>
    <w:p w:rsidR="003E73BC" w:rsidRP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8"/>
          <w:szCs w:val="8"/>
          <w:lang w:eastAsia="en-US"/>
        </w:rPr>
      </w:pP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Valoarea totală a proiectului este de 2.571.925.790,17 lei, din care valoarea totală eligibilă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aprobată de către Comisia Europeana 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, finanțată prin Programul Operațional Infrastructură Mare 2014-2020, este 1.996.408.666,21lei lei (85% din valoarea totală eligibilă aprobată –  1.696.947.366,29  lei este asigurată din Fondul European de Dezvoltare Regională, iar 15% în valoare de 299.461.299,92 lei va fi finanțată din bugetul beneficiarului).Perioada de implementare a Proiectului este de 105 luni, respectiv între 27.04.2015 și 31.12.2023.</w:t>
      </w:r>
    </w:p>
    <w:p w:rsidR="003E73BC" w:rsidRP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3E73BC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După realizarea acestui proiect accesibilitatea Dobrogei in special in județul Tulcea va fi crescuta realizând-se reduceri semnificative de </w:t>
      </w:r>
      <w:bookmarkStart w:id="0" w:name="_GoBack"/>
      <w:bookmarkEnd w:id="0"/>
      <w:r w:rsidR="00E778F8" w:rsidRPr="00AD6EC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timp</w:t>
      </w:r>
      <w:r w:rsidRPr="00AD6EC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de călătorie in </w:t>
      </w:r>
      <w:r w:rsidR="00BA19DF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particular</w:t>
      </w:r>
      <w:r w:rsidRPr="003E73B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intre Moldova si Dobrogea.</w:t>
      </w: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3E73BC" w:rsidRDefault="003E73BC" w:rsidP="00E614E1">
      <w:pPr>
        <w:spacing w:line="360" w:lineRule="auto"/>
        <w:ind w:right="-276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sectPr w:rsidR="003E73BC" w:rsidSect="006305CF">
      <w:footerReference w:type="default" r:id="rId12"/>
      <w:pgSz w:w="11906" w:h="16838"/>
      <w:pgMar w:top="1620" w:right="1022" w:bottom="360" w:left="810" w:header="70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D1" w:rsidRDefault="009551D1" w:rsidP="00AB1717">
      <w:r>
        <w:separator/>
      </w:r>
    </w:p>
  </w:endnote>
  <w:endnote w:type="continuationSeparator" w:id="0">
    <w:p w:rsidR="009551D1" w:rsidRDefault="009551D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B06BBE">
    <w:pPr>
      <w:pStyle w:val="Footer"/>
      <w:ind w:left="18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D1" w:rsidRDefault="009551D1" w:rsidP="00AB1717">
      <w:r>
        <w:separator/>
      </w:r>
    </w:p>
  </w:footnote>
  <w:footnote w:type="continuationSeparator" w:id="0">
    <w:p w:rsidR="009551D1" w:rsidRDefault="009551D1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FCA"/>
    <w:multiLevelType w:val="hybridMultilevel"/>
    <w:tmpl w:val="EF702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51CC9"/>
    <w:rsid w:val="00077D0A"/>
    <w:rsid w:val="00086F83"/>
    <w:rsid w:val="000C2E11"/>
    <w:rsid w:val="000E2DE4"/>
    <w:rsid w:val="000F258D"/>
    <w:rsid w:val="000F3DAC"/>
    <w:rsid w:val="000F4924"/>
    <w:rsid w:val="001049F8"/>
    <w:rsid w:val="001B7E6A"/>
    <w:rsid w:val="001E122F"/>
    <w:rsid w:val="001E65EA"/>
    <w:rsid w:val="001F5937"/>
    <w:rsid w:val="00204918"/>
    <w:rsid w:val="0023057F"/>
    <w:rsid w:val="00246A92"/>
    <w:rsid w:val="00271B49"/>
    <w:rsid w:val="002723CD"/>
    <w:rsid w:val="002C1977"/>
    <w:rsid w:val="002E226E"/>
    <w:rsid w:val="002E2DAE"/>
    <w:rsid w:val="00311122"/>
    <w:rsid w:val="003700DE"/>
    <w:rsid w:val="00373A7F"/>
    <w:rsid w:val="003B196B"/>
    <w:rsid w:val="003E5F6D"/>
    <w:rsid w:val="003E73BC"/>
    <w:rsid w:val="0040230B"/>
    <w:rsid w:val="004349BE"/>
    <w:rsid w:val="00435098"/>
    <w:rsid w:val="00474D39"/>
    <w:rsid w:val="004914E6"/>
    <w:rsid w:val="004B55DE"/>
    <w:rsid w:val="004B5BEE"/>
    <w:rsid w:val="004D0A4E"/>
    <w:rsid w:val="004E4660"/>
    <w:rsid w:val="004F4BE4"/>
    <w:rsid w:val="005053CF"/>
    <w:rsid w:val="00574D74"/>
    <w:rsid w:val="00590816"/>
    <w:rsid w:val="00592DAB"/>
    <w:rsid w:val="00594B4A"/>
    <w:rsid w:val="00597F30"/>
    <w:rsid w:val="00620682"/>
    <w:rsid w:val="006258D3"/>
    <w:rsid w:val="006305CF"/>
    <w:rsid w:val="00634285"/>
    <w:rsid w:val="00635D43"/>
    <w:rsid w:val="00685D57"/>
    <w:rsid w:val="006D53E3"/>
    <w:rsid w:val="006E5A09"/>
    <w:rsid w:val="00726EA5"/>
    <w:rsid w:val="007473A9"/>
    <w:rsid w:val="0076016A"/>
    <w:rsid w:val="00764564"/>
    <w:rsid w:val="007962F9"/>
    <w:rsid w:val="00797878"/>
    <w:rsid w:val="007B2C38"/>
    <w:rsid w:val="007C3EBF"/>
    <w:rsid w:val="007E2E93"/>
    <w:rsid w:val="007E4A63"/>
    <w:rsid w:val="00805082"/>
    <w:rsid w:val="008058D7"/>
    <w:rsid w:val="00816E71"/>
    <w:rsid w:val="0084012E"/>
    <w:rsid w:val="00842048"/>
    <w:rsid w:val="00842E5D"/>
    <w:rsid w:val="00863739"/>
    <w:rsid w:val="00880BBC"/>
    <w:rsid w:val="00893191"/>
    <w:rsid w:val="008B28D0"/>
    <w:rsid w:val="008B77B4"/>
    <w:rsid w:val="00936A07"/>
    <w:rsid w:val="00950BCB"/>
    <w:rsid w:val="009551D1"/>
    <w:rsid w:val="00962188"/>
    <w:rsid w:val="00966B89"/>
    <w:rsid w:val="00993A57"/>
    <w:rsid w:val="009C506F"/>
    <w:rsid w:val="009D734B"/>
    <w:rsid w:val="00A013D8"/>
    <w:rsid w:val="00A26054"/>
    <w:rsid w:val="00A84AAF"/>
    <w:rsid w:val="00AA0560"/>
    <w:rsid w:val="00AB1717"/>
    <w:rsid w:val="00AB19F4"/>
    <w:rsid w:val="00AD6ECE"/>
    <w:rsid w:val="00B06BBE"/>
    <w:rsid w:val="00B23D17"/>
    <w:rsid w:val="00B42745"/>
    <w:rsid w:val="00B47D8A"/>
    <w:rsid w:val="00BA19DF"/>
    <w:rsid w:val="00BA1EC1"/>
    <w:rsid w:val="00BA7E80"/>
    <w:rsid w:val="00BD31BC"/>
    <w:rsid w:val="00BD4867"/>
    <w:rsid w:val="00C063D5"/>
    <w:rsid w:val="00C12FFB"/>
    <w:rsid w:val="00C34331"/>
    <w:rsid w:val="00C35E30"/>
    <w:rsid w:val="00C36209"/>
    <w:rsid w:val="00C432EE"/>
    <w:rsid w:val="00C7407E"/>
    <w:rsid w:val="00C82F87"/>
    <w:rsid w:val="00CA65E2"/>
    <w:rsid w:val="00CC193A"/>
    <w:rsid w:val="00CE2029"/>
    <w:rsid w:val="00D0704E"/>
    <w:rsid w:val="00D47D01"/>
    <w:rsid w:val="00D66A9D"/>
    <w:rsid w:val="00D73098"/>
    <w:rsid w:val="00D8282A"/>
    <w:rsid w:val="00DA6171"/>
    <w:rsid w:val="00DB3F5B"/>
    <w:rsid w:val="00DC0B61"/>
    <w:rsid w:val="00E05AAC"/>
    <w:rsid w:val="00E25111"/>
    <w:rsid w:val="00E614E1"/>
    <w:rsid w:val="00E73A41"/>
    <w:rsid w:val="00E778F8"/>
    <w:rsid w:val="00E84207"/>
    <w:rsid w:val="00EA6EB1"/>
    <w:rsid w:val="00EC532B"/>
    <w:rsid w:val="00EF53ED"/>
    <w:rsid w:val="00EF6BCB"/>
    <w:rsid w:val="00F47AFA"/>
    <w:rsid w:val="00F500B5"/>
    <w:rsid w:val="00F56826"/>
    <w:rsid w:val="00F768B1"/>
    <w:rsid w:val="00F77D82"/>
    <w:rsid w:val="00F810E6"/>
    <w:rsid w:val="00F84F59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  <w:style w:type="paragraph" w:styleId="NormalWeb">
    <w:name w:val="Normal (Web)"/>
    <w:basedOn w:val="Normal"/>
    <w:uiPriority w:val="99"/>
    <w:unhideWhenUsed/>
    <w:rsid w:val="00842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7C45-D80F-445B-AA38-E3FC2CF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Florin STOICA</cp:lastModifiedBy>
  <cp:revision>2</cp:revision>
  <cp:lastPrinted>2019-09-03T08:35:00Z</cp:lastPrinted>
  <dcterms:created xsi:type="dcterms:W3CDTF">2019-09-03T08:57:00Z</dcterms:created>
  <dcterms:modified xsi:type="dcterms:W3CDTF">2019-09-03T08:57:00Z</dcterms:modified>
</cp:coreProperties>
</file>